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540B1A" w:rsidRPr="00540B1A" w:rsidTr="00540B1A">
        <w:trPr>
          <w:tblCellSpacing w:w="0" w:type="dxa"/>
        </w:trPr>
        <w:tc>
          <w:tcPr>
            <w:tcW w:w="4785" w:type="dxa"/>
            <w:hideMark/>
          </w:tcPr>
          <w:p w:rsidR="00540B1A" w:rsidRPr="00540B1A" w:rsidRDefault="00540B1A" w:rsidP="0054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540B1A" w:rsidRPr="00540B1A" w:rsidRDefault="00540B1A" w:rsidP="0054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1A">
              <w:rPr>
                <w:rFonts w:ascii="inherit" w:eastAsia="Times New Roman" w:hAnsi="inherit" w:cs="Times New Roman"/>
                <w:b/>
                <w:bCs/>
                <w:iCs/>
                <w:sz w:val="24"/>
                <w:szCs w:val="24"/>
                <w:lang w:eastAsia="ru-RU"/>
              </w:rPr>
              <w:t>УТВЕРЖДЕНО</w:t>
            </w:r>
          </w:p>
          <w:p w:rsidR="00540B1A" w:rsidRPr="00540B1A" w:rsidRDefault="00540B1A" w:rsidP="0054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 от 31.08.2014</w:t>
            </w:r>
            <w:r w:rsidRPr="0054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40B1A" w:rsidRPr="00540B1A" w:rsidRDefault="00540B1A" w:rsidP="0054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540B1A" w:rsidRPr="00540B1A" w:rsidRDefault="00540B1A" w:rsidP="0054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 от 29.08.2014</w:t>
            </w:r>
            <w:r w:rsidRPr="0054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40B1A" w:rsidRPr="00540B1A" w:rsidRDefault="00540B1A" w:rsidP="0054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shd w:val="clear" w:color="auto" w:fill="D1DBE3"/>
                <w:lang w:eastAsia="ru-RU"/>
              </w:rPr>
              <w:t>Директор МБОУС</w:t>
            </w:r>
            <w:r w:rsidRPr="00540B1A">
              <w:rPr>
                <w:rFonts w:ascii="inherit" w:eastAsia="Times New Roman" w:hAnsi="inherit" w:cs="Times New Roman"/>
                <w:sz w:val="24"/>
                <w:szCs w:val="24"/>
                <w:shd w:val="clear" w:color="auto" w:fill="D1DBE3"/>
                <w:lang w:eastAsia="ru-RU"/>
              </w:rPr>
              <w:t>ОШ № 2</w:t>
            </w:r>
            <w:r>
              <w:rPr>
                <w:rFonts w:ascii="inherit" w:eastAsia="Times New Roman" w:hAnsi="inherit" w:cs="Times New Roman"/>
                <w:sz w:val="24"/>
                <w:szCs w:val="24"/>
                <w:shd w:val="clear" w:color="auto" w:fill="D1DBE3"/>
                <w:lang w:eastAsia="ru-RU"/>
              </w:rPr>
              <w:t>8</w:t>
            </w:r>
          </w:p>
          <w:p w:rsidR="00540B1A" w:rsidRPr="00540B1A" w:rsidRDefault="00540B1A" w:rsidP="00540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М.Е.Воропаева</w:t>
            </w:r>
            <w:r w:rsidRPr="0054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B1A" w:rsidRPr="00540B1A" w:rsidRDefault="00540B1A" w:rsidP="0054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40B1A" w:rsidRPr="00540B1A" w:rsidRDefault="00540B1A" w:rsidP="0054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</w:t>
      </w:r>
      <w:r w:rsidRPr="0054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едагогическом совете</w:t>
      </w:r>
    </w:p>
    <w:p w:rsidR="00540B1A" w:rsidRPr="00540B1A" w:rsidRDefault="00540B1A" w:rsidP="0054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МБОУСОШ</w:t>
      </w:r>
      <w:r w:rsidRPr="0054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28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Темрюкский </w:t>
      </w:r>
      <w:r w:rsidRPr="0054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  ПОЛОЖЕНИЯ.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1.1.Настоящее Положение разработано на основе следующих нормативных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:З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образовании» в редакции от 29.12. 2012 г №272ФЗ;Типового положения об общеобразовательном учреждении (в новой редакции от 10 марта 2009г.) и  других нормативных правовых актов, регулирующих деятельность муниципальных общеобразовательных учреждений всех видов.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о Педагогическом совете школы (далее – Положение) устанавливает порядок формирования и функционирования Педагогического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МБОУСОШ № 28.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Педагогическим советом и вводится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приказом директора.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Педагогический совет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коллегиальным  органом самоуправления школы и создается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организацией образовательного процесса, развития содержания образования, реализации образовательных программ, повышения качества обучения и  воспитания обучающихся, совершенствования методической работы Учреждения, а также содействия повышению квалификации ее педагогических работников.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Педагогический совет является постоянно действующим, руково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дящим органом в образовательном учреждении для рассмотрения осново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полагающих вопросов образовательного процесса.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1.4.Деятельность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педсоветов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аучно-педагогическая</w:t>
      </w:r>
      <w:proofErr w:type="spellEnd"/>
      <w:r w:rsidRPr="00540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производственно-деловая.</w:t>
      </w:r>
    </w:p>
    <w:p w:rsid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педагогических советов: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или проблемные</w:t>
      </w:r>
      <w:r w:rsidRPr="00540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</w:t>
      </w:r>
      <w:r w:rsidRPr="00540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информационные</w:t>
      </w:r>
      <w:r w:rsidRPr="00540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предметные, методические, общекульту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рные,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дактические,  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психологические, педагогические.</w:t>
      </w:r>
      <w:proofErr w:type="gramEnd"/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педагогических советов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двум направлениям: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  Научно-практическая и научно-методическая деятельность реали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через тематические и проблемные педсоветы, где всесторонне об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суждается та или иная проблема воспитания и обучения.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2. Производственно-деловая деятельность  реализуется  через  сле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дующие виды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педсоветов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</w:t>
      </w:r>
      <w:r w:rsidRPr="00540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итоговые,координационные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педсоветы,информационные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педсоветы.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Формы педагогических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радиционная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(доклад и обсуждение),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бездокладный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педсовет,  нетрадиционные формы (деловая игра, педсовет –диспут, педсовет - КТД , педсовет -методический день,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мозговая атака (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брейнсторминг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  педсовет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онсилиум , педсовет -   конференция).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2.ЗАДАЧИ И ФУНКЦИИ.</w:t>
      </w:r>
    </w:p>
    <w:p w:rsidR="00540B1A" w:rsidRPr="00540B1A" w:rsidRDefault="00540B1A" w:rsidP="000F5A21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Главными задачами Педагогического совета являются: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реализация государственной политики по вопросам образования;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ориентация деятельности педагогического коллектива школы на совершенствование образовательного процесса;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внедрение в практику достижений педагогической науки и передового педагогического опыта;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решение вопросов о переводе и выпуске обучающихся, освоивших государственный стандарт образования.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Педагогический совет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следующие функции: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утверждает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работы школы;</w:t>
      </w:r>
    </w:p>
    <w:p w:rsidR="000F5A21" w:rsidRDefault="00540B1A" w:rsidP="000F5A2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и утверждает правила внутрен</w:t>
      </w:r>
      <w:r w:rsid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распорядка </w:t>
      </w:r>
      <w:proofErr w:type="gramStart"/>
      <w:r w:rsid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5A21" w:rsidRDefault="00540B1A" w:rsidP="000F5A2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основные вопросы учеб</w:t>
      </w:r>
      <w:r w:rsid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но-воспитательного процесса;</w:t>
      </w:r>
    </w:p>
    <w:p w:rsidR="000F5A21" w:rsidRDefault="00540B1A" w:rsidP="000F5A2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принимает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совершенствованию содержания образования, внедрению инновацион</w:t>
      </w:r>
      <w:r w:rsid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технологий;</w:t>
      </w:r>
    </w:p>
    <w:p w:rsidR="00540B1A" w:rsidRDefault="00540B1A" w:rsidP="000F5A21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информацию и отчёты педагогических работников, сообщения о результатах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инспектирования вышестоящими организациями, о проверке соблюдения санитарно-гигиенического режима в школе, об охране здоровья и труда обучающихся, другие вопросы образовательной деятельности школы;</w:t>
      </w:r>
      <w:proofErr w:type="gramEnd"/>
    </w:p>
    <w:p w:rsidR="00540B1A" w:rsidRPr="00540B1A" w:rsidRDefault="00540B1A" w:rsidP="00540B1A">
      <w:pPr>
        <w:pStyle w:val="a6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решения: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промежуточной аттестации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учебного года,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допуске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промежуточной и итоговой аттестации, освобождении обучающихся от промежуточной аттестации,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щадящего режима прохождения итоговой аттестации,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индивидуальное обучение на дому на основании представленных документов,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переводе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(условном </w:t>
      </w:r>
      <w:proofErr w:type="spell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переводена</w:t>
      </w:r>
      <w:proofErr w:type="spell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осень, оставлении на повторное обучение),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соответствующих документов об образовании,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награждении обучающихся за успехи в обучении похвальными листами, похвальными грамотами, медалями;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решения о переводе и выпуске обучающихся;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 обучающихся к экзаменам, выпуска и награждения обучающихся;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 перевода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следующие классы,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на повторный год обучения,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согласует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учебно-воспитательной и методической работы;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основные направления повышения качества образовательного процесса и программу развития Учреждения, представляет ее директору для последующего утверждения Советом Учреждения;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и представляет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согласования Совету   Учреждения компонент образовательного учреждения учебного плана («школьный компонент»), профили обучения;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годовой календарный учебный план и режим занятий на учебный год;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порядок и формы проведения промежуточной аттестации учащихся на учебный год;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состояние учебно-программного, учебно-методического и экспериментально-технического обеспечения образовательного процесса, состояние и итоги учебной и воспитательной работы Учреждения, дисциплины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отчеты педагогических работников, руководителей и других работников Учреждения по обеспечению качественного образовательного процесса;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заслушивает и обсуждает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учителей в области новых педагогических и информационных технологий, авторские программы, учебники, учебно-методические пособия;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повышения квалификации педагогических работников, развития их творческих инициатив и аттестации;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состояния охраны труда в Учреждении;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директора Учреждения об итогах образовательной деятельности в истекшем учебном году;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положения необходимые для выполнения поставленных перед Учреждением задач;</w:t>
      </w:r>
    </w:p>
    <w:p w:rsidR="00540B1A" w:rsidRPr="00540B1A" w:rsidRDefault="00540B1A" w:rsidP="00540B1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Учреждении, а также учебных пособий, допущенных к использованию в образовательном процессе Учреждения.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согласованию с Управляющим Советом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исключении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школы, когда иные меры педагогического и дисциплинарного воздействия исчерпаны, в порядке, определённом Законом Российской Федерации «Об образовании», Уставом и Правилами внутреннего распорядка школы. Решение в трёхдневный срок доводится до сведения Управления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устанавливает, по согласованию с Управляющим Советом учреждения, устанавливает требования к одежде обучающихся;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- утверждает локальные нормативные акты, регулирующие образовательный процесс, взаимоотношения участников образовательного процесса.</w:t>
      </w:r>
    </w:p>
    <w:p w:rsidR="00540B1A" w:rsidRDefault="00540B1A" w:rsidP="0054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3.СОСТАВ И ПОРЯДОК РАБОТЫ.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Членами Педагогического совета являются все педагогические работники Учреждения, включая совместителей, библиотекаря. В необходимых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Педагогического совета приглашаются представители общественных организаций, ученического самоуправления, родители (законные представители) обучающихся и другие лица.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Председателем Педагогического совета является директор школы.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Для ведения протокола и организации делопроизводства директор школы  назначает своим приказом секретаря Педагогического совета сроком на один год из числа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Педагогический совет работает по плану, являющемуся составной частью плана работы школы.</w:t>
      </w:r>
    </w:p>
    <w:p w:rsid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Заседания Педагогического совета созываются, как правило, по мере необходимости, но не реже четырёх раз в год. В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могут созываться внеочередные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Педагогического совета.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Решения Педагогического совета принимаются открытым голосованием простым большинством голосов. При равном количестве голосов решающим является голос председателя Педагогического совета (директора школы). Решения Педагогического совета являются правомочными, если на нём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не менее двух третей состава и за них проголосовало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половины присутствующих. Решения Педагогического совета носят рекомендательный характер.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Решения, принятые Педагогическим советом в пределах его полномочий и оформленные приказом директора, являются обязательными для администрации и всех членов трудового коллектива.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Организацию выполнения решений Педагогического совета осуществляет директор школы и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лица, указанные в решении. Результаты этой работы сообщаются членам Педагогического совета на последующих заседаниях. Организацию работы по выполнению решений и рекомендаций Педагогического совета осуществляет директор школы. На очередных заседаниях совета он докладывает о результатах этой работы.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Директор школы в случае несогласия с решением Педагогического совета приостанавливает выполнение решения, извещает об этом учредителей, которые в трёхдневный срок выносят окончательное решение по спорному вопросу.</w:t>
      </w:r>
    </w:p>
    <w:p w:rsidR="00540B1A" w:rsidRPr="00540B1A" w:rsidRDefault="00540B1A" w:rsidP="00540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ОТВЕТСТВЕННОСТЬ.</w:t>
      </w:r>
    </w:p>
    <w:p w:rsidR="00540B1A" w:rsidRDefault="00540B1A" w:rsidP="001C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совет имеет право: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временные творческие объединения, рабочие группы с приглашением специалистов различного профиля, консультантов для выработки рекомендаций с последующим рассмотрением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Педагогическом совете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решение по спорным вопросам, входящим в его компетенцию.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Педагогический совет ответственен </w:t>
      </w:r>
      <w:proofErr w:type="gramStart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0B1A" w:rsidRPr="00540B1A" w:rsidRDefault="00540B1A" w:rsidP="001C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выполнение плана работы;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соответствие принятых решений законодательству Российской Федерации об образовании, о защите прав детства;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540B1A" w:rsidRPr="00540B1A" w:rsidRDefault="00540B1A" w:rsidP="00540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ВЗАИМООТНОШЕНИЯ И СВЯЗИ.</w:t>
      </w:r>
    </w:p>
    <w:p w:rsidR="00540B1A" w:rsidRPr="00540B1A" w:rsidRDefault="00540B1A" w:rsidP="001C0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Педагогический совет школы работает в тесном контакте с общественными организациями, органами самоуправления школы.</w:t>
      </w:r>
      <w:r w:rsidRPr="00540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Приглашает на совместные заседания представителей управляющего  Совета школы учреждения по вопросам совместных действий.</w:t>
      </w:r>
    </w:p>
    <w:p w:rsidR="00540B1A" w:rsidRPr="00540B1A" w:rsidRDefault="00540B1A" w:rsidP="001C0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ДЕЛОПРОИЗВОДСТВО.</w:t>
      </w:r>
    </w:p>
    <w:p w:rsidR="000F5A21" w:rsidRDefault="00540B1A" w:rsidP="000F5A2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Педагогических советов и решения оформляются протоколами. Протоколы ведутся </w:t>
      </w:r>
      <w:r w:rsidR="000F5A21" w:rsidRP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и электронном виде</w:t>
      </w:r>
      <w:r w:rsidR="000F5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5A21" w:rsidRDefault="000F5A21" w:rsidP="000F5A2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оформления протоколов – 3 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тв. за оформление протоколов секретарь педагогических советов).</w:t>
      </w:r>
    </w:p>
    <w:p w:rsidR="000F5A21" w:rsidRDefault="000F5A21" w:rsidP="000F5A2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 протоколов сквозная. Каждый протокол сшивается, заверяется  подписью председателя, скрепляется печатью.</w:t>
      </w:r>
    </w:p>
    <w:p w:rsidR="000F5A21" w:rsidRDefault="000F5A21" w:rsidP="000F5A2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формируется книга протоколов</w:t>
      </w:r>
      <w:r w:rsidR="00E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советов (все протоколы в течение  учебного года сшиваются, заверяются подписью, скрепляются печатью.</w:t>
      </w:r>
      <w:proofErr w:type="gramEnd"/>
    </w:p>
    <w:p w:rsidR="00EA233D" w:rsidRDefault="00EA233D" w:rsidP="000F5A21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 протоколов ведется книга регистрации  по форме:</w:t>
      </w:r>
    </w:p>
    <w:p w:rsidR="00EA233D" w:rsidRDefault="00EA233D" w:rsidP="00EA233D">
      <w:pPr>
        <w:pStyle w:val="a6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68" w:type="dxa"/>
        <w:tblLook w:val="04A0"/>
      </w:tblPr>
      <w:tblGrid>
        <w:gridCol w:w="769"/>
        <w:gridCol w:w="3096"/>
        <w:gridCol w:w="1917"/>
        <w:gridCol w:w="3832"/>
      </w:tblGrid>
      <w:tr w:rsidR="00EA233D" w:rsidTr="00EA233D">
        <w:tc>
          <w:tcPr>
            <w:tcW w:w="769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6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протокола</w:t>
            </w:r>
          </w:p>
        </w:tc>
        <w:tc>
          <w:tcPr>
            <w:tcW w:w="1917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32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</w:t>
            </w:r>
          </w:p>
        </w:tc>
      </w:tr>
      <w:tr w:rsidR="00EA233D" w:rsidTr="00F80820">
        <w:tc>
          <w:tcPr>
            <w:tcW w:w="769" w:type="dxa"/>
          </w:tcPr>
          <w:p w:rsidR="00EA233D" w:rsidRDefault="00EA233D" w:rsidP="00EA233D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3D" w:rsidTr="00727C1B">
        <w:tc>
          <w:tcPr>
            <w:tcW w:w="769" w:type="dxa"/>
          </w:tcPr>
          <w:p w:rsidR="00EA233D" w:rsidRDefault="00EA233D" w:rsidP="00EA233D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</w:tcPr>
          <w:p w:rsidR="00EA233D" w:rsidRDefault="00EA233D" w:rsidP="00EA233D">
            <w:pPr>
              <w:pStyle w:val="a6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33D" w:rsidRDefault="00EA233D" w:rsidP="00EA233D">
      <w:pPr>
        <w:pStyle w:val="a6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76" w:rsidRDefault="00831576" w:rsidP="00540B1A">
      <w:pPr>
        <w:jc w:val="both"/>
      </w:pPr>
    </w:p>
    <w:sectPr w:rsidR="00831576" w:rsidSect="00540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01E"/>
    <w:multiLevelType w:val="hybridMultilevel"/>
    <w:tmpl w:val="3A403936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9E7"/>
    <w:multiLevelType w:val="hybridMultilevel"/>
    <w:tmpl w:val="C7C0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818"/>
    <w:multiLevelType w:val="hybridMultilevel"/>
    <w:tmpl w:val="50461CB4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742C"/>
    <w:multiLevelType w:val="hybridMultilevel"/>
    <w:tmpl w:val="3984E4BA"/>
    <w:lvl w:ilvl="0" w:tplc="FCDAD44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9EF"/>
    <w:multiLevelType w:val="hybridMultilevel"/>
    <w:tmpl w:val="8A22AC70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10133"/>
    <w:multiLevelType w:val="hybridMultilevel"/>
    <w:tmpl w:val="4AAE7B1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56F6E"/>
    <w:multiLevelType w:val="hybridMultilevel"/>
    <w:tmpl w:val="3BD851C0"/>
    <w:lvl w:ilvl="0" w:tplc="FCDAD446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921386"/>
    <w:multiLevelType w:val="hybridMultilevel"/>
    <w:tmpl w:val="7DDE1BEE"/>
    <w:lvl w:ilvl="0" w:tplc="5F28D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70478"/>
    <w:multiLevelType w:val="hybridMultilevel"/>
    <w:tmpl w:val="5C64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A6EF2"/>
    <w:multiLevelType w:val="hybridMultilevel"/>
    <w:tmpl w:val="0232B76C"/>
    <w:lvl w:ilvl="0" w:tplc="FCDAD44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B1A"/>
    <w:rsid w:val="000F5A21"/>
    <w:rsid w:val="001C08E3"/>
    <w:rsid w:val="004C0999"/>
    <w:rsid w:val="00540B1A"/>
    <w:rsid w:val="00831576"/>
    <w:rsid w:val="00EA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1A"/>
    <w:rPr>
      <w:b/>
      <w:bCs/>
    </w:rPr>
  </w:style>
  <w:style w:type="character" w:styleId="a5">
    <w:name w:val="Emphasis"/>
    <w:basedOn w:val="a0"/>
    <w:uiPriority w:val="20"/>
    <w:qFormat/>
    <w:rsid w:val="00540B1A"/>
    <w:rPr>
      <w:i/>
      <w:iCs/>
    </w:rPr>
  </w:style>
  <w:style w:type="paragraph" w:styleId="a6">
    <w:name w:val="List Paragraph"/>
    <w:basedOn w:val="a"/>
    <w:uiPriority w:val="34"/>
    <w:qFormat/>
    <w:rsid w:val="00540B1A"/>
    <w:pPr>
      <w:ind w:left="720"/>
      <w:contextualSpacing/>
    </w:pPr>
  </w:style>
  <w:style w:type="table" w:styleId="a7">
    <w:name w:val="Table Grid"/>
    <w:basedOn w:val="a1"/>
    <w:uiPriority w:val="59"/>
    <w:rsid w:val="00EA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2014-09-18T05:52:00Z</cp:lastPrinted>
  <dcterms:created xsi:type="dcterms:W3CDTF">2014-09-17T15:28:00Z</dcterms:created>
  <dcterms:modified xsi:type="dcterms:W3CDTF">2014-09-18T05:53:00Z</dcterms:modified>
</cp:coreProperties>
</file>